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7D109" w14:textId="5ED3D4F7" w:rsidR="00205B14" w:rsidRDefault="00205B14" w:rsidP="00205B14">
      <w:r>
        <w:rPr>
          <w:noProof/>
          <w:color w:val="1F497D"/>
          <w:lang w:eastAsia="fr-FR"/>
        </w:rPr>
        <w:drawing>
          <wp:anchor distT="0" distB="0" distL="114300" distR="114300" simplePos="0" relativeHeight="251659264" behindDoc="0" locked="0" layoutInCell="1" allowOverlap="1" wp14:anchorId="171865D8" wp14:editId="6F5C017F">
            <wp:simplePos x="0" y="0"/>
            <wp:positionH relativeFrom="margin">
              <wp:posOffset>4166235</wp:posOffset>
            </wp:positionH>
            <wp:positionV relativeFrom="margin">
              <wp:posOffset>-281940</wp:posOffset>
            </wp:positionV>
            <wp:extent cx="2305050" cy="1057275"/>
            <wp:effectExtent l="0" t="0" r="0" b="9525"/>
            <wp:wrapSquare wrapText="bothSides"/>
            <wp:docPr id="2" name="Image 2" descr="Logo_PC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CI"/>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05050" cy="1057275"/>
                    </a:xfrm>
                    <a:prstGeom prst="rect">
                      <a:avLst/>
                    </a:prstGeom>
                    <a:noFill/>
                    <a:ln>
                      <a:noFill/>
                    </a:ln>
                  </pic:spPr>
                </pic:pic>
              </a:graphicData>
            </a:graphic>
          </wp:anchor>
        </w:drawing>
      </w:r>
      <w:r w:rsidR="007E5F79">
        <w:rPr>
          <w:noProof/>
          <w:lang w:eastAsia="fr-FR"/>
        </w:rPr>
        <w:drawing>
          <wp:anchor distT="0" distB="0" distL="114300" distR="114300" simplePos="0" relativeHeight="251660288" behindDoc="0" locked="0" layoutInCell="1" allowOverlap="1" wp14:anchorId="07FB330B" wp14:editId="594772C7">
            <wp:simplePos x="2105025" y="895350"/>
            <wp:positionH relativeFrom="margin">
              <wp:align>center</wp:align>
            </wp:positionH>
            <wp:positionV relativeFrom="margin">
              <wp:align>top</wp:align>
            </wp:positionV>
            <wp:extent cx="2047875" cy="865505"/>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AMvalor_CMJN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865505"/>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14:anchorId="05991669" wp14:editId="4F1D3272">
            <wp:simplePos x="0" y="0"/>
            <wp:positionH relativeFrom="margin">
              <wp:posOffset>-529590</wp:posOffset>
            </wp:positionH>
            <wp:positionV relativeFrom="margin">
              <wp:posOffset>-171450</wp:posOffset>
            </wp:positionV>
            <wp:extent cx="1619250" cy="947953"/>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947953"/>
                    </a:xfrm>
                    <a:prstGeom prst="rect">
                      <a:avLst/>
                    </a:prstGeom>
                    <a:noFill/>
                    <a:ln>
                      <a:noFill/>
                    </a:ln>
                  </pic:spPr>
                </pic:pic>
              </a:graphicData>
            </a:graphic>
          </wp:anchor>
        </w:drawing>
      </w:r>
      <w:r w:rsidR="00CF3248">
        <w:tab/>
      </w:r>
      <w:r w:rsidR="00CF3248">
        <w:tab/>
      </w:r>
      <w:r w:rsidR="00CF3248">
        <w:tab/>
      </w:r>
      <w:r>
        <w:rPr>
          <w:color w:val="45494E"/>
          <w:sz w:val="20"/>
          <w:szCs w:val="20"/>
          <w:lang w:eastAsia="fr-FR"/>
        </w:rPr>
        <w:t>  </w:t>
      </w:r>
    </w:p>
    <w:p w14:paraId="27B8972F" w14:textId="388F0141" w:rsidR="005E458E" w:rsidRDefault="00CF3248" w:rsidP="009F7AD2">
      <w:pPr>
        <w:spacing w:after="0"/>
      </w:pPr>
      <w:r>
        <w:tab/>
      </w:r>
      <w:r>
        <w:tab/>
      </w:r>
      <w:r>
        <w:tab/>
      </w:r>
      <w:r>
        <w:tab/>
      </w:r>
      <w:r>
        <w:tab/>
      </w:r>
    </w:p>
    <w:p w14:paraId="127905E9" w14:textId="69DAFC8C" w:rsidR="00CF3248" w:rsidRDefault="00CF3248" w:rsidP="009F7AD2">
      <w:pPr>
        <w:spacing w:after="0"/>
        <w:rPr>
          <w:rFonts w:ascii="Arial" w:eastAsia="Times New Roman" w:hAnsi="Arial" w:cs="Arial"/>
          <w:bCs/>
          <w:color w:val="C32B3F"/>
          <w:sz w:val="28"/>
          <w:szCs w:val="28"/>
          <w:lang w:eastAsia="fr-FR"/>
        </w:rPr>
      </w:pPr>
    </w:p>
    <w:p w14:paraId="58314087" w14:textId="23334B6F" w:rsidR="00CF3248" w:rsidRPr="00FD7F86" w:rsidRDefault="00CF3248" w:rsidP="009F7AD2">
      <w:pPr>
        <w:spacing w:after="0"/>
        <w:rPr>
          <w:rFonts w:ascii="Arial" w:eastAsia="Times New Roman" w:hAnsi="Arial" w:cs="Arial"/>
          <w:bCs/>
          <w:color w:val="C32B3F"/>
          <w:sz w:val="28"/>
          <w:szCs w:val="28"/>
          <w:lang w:eastAsia="fr-FR"/>
        </w:rPr>
      </w:pPr>
      <w:r w:rsidRPr="00FD7F86">
        <w:rPr>
          <w:rFonts w:ascii="Arial" w:eastAsia="Times New Roman" w:hAnsi="Arial" w:cs="Arial"/>
          <w:bCs/>
          <w:color w:val="C32B3F"/>
          <w:sz w:val="28"/>
          <w:szCs w:val="28"/>
          <w:lang w:eastAsia="fr-FR"/>
        </w:rPr>
        <w:t xml:space="preserve">Communiqué de presse </w:t>
      </w:r>
      <w:bookmarkStart w:id="0" w:name="_GoBack"/>
      <w:bookmarkEnd w:id="0"/>
    </w:p>
    <w:p w14:paraId="748570C1" w14:textId="77777777" w:rsidR="00CF3248" w:rsidRDefault="00CF3248" w:rsidP="009F7AD2">
      <w:pPr>
        <w:spacing w:after="0"/>
        <w:jc w:val="center"/>
        <w:rPr>
          <w:rFonts w:ascii="Arial" w:hAnsi="Arial" w:cs="Arial"/>
          <w:bCs/>
          <w:color w:val="C32B3F"/>
          <w:sz w:val="40"/>
          <w:szCs w:val="40"/>
        </w:rPr>
      </w:pPr>
    </w:p>
    <w:p w14:paraId="6D7D568F" w14:textId="7F9DAA98" w:rsidR="00C9648E" w:rsidRPr="00205B14" w:rsidRDefault="003D2B67" w:rsidP="00C9648E">
      <w:pPr>
        <w:spacing w:after="0" w:line="360" w:lineRule="auto"/>
        <w:jc w:val="center"/>
        <w:rPr>
          <w:rFonts w:ascii="Arial" w:hAnsi="Arial" w:cs="Arial"/>
          <w:bCs/>
          <w:color w:val="C32B3F"/>
          <w:sz w:val="36"/>
          <w:szCs w:val="36"/>
        </w:rPr>
      </w:pPr>
      <w:r w:rsidRPr="00205B14">
        <w:rPr>
          <w:rFonts w:ascii="Arial" w:hAnsi="Arial" w:cs="Arial"/>
          <w:bCs/>
          <w:color w:val="C32B3F"/>
          <w:sz w:val="36"/>
          <w:szCs w:val="36"/>
        </w:rPr>
        <w:t>L</w:t>
      </w:r>
      <w:r w:rsidR="00C9648E" w:rsidRPr="00205B14">
        <w:rPr>
          <w:rFonts w:ascii="Arial" w:hAnsi="Arial" w:cs="Arial"/>
          <w:bCs/>
          <w:color w:val="C32B3F"/>
          <w:sz w:val="36"/>
          <w:szCs w:val="36"/>
        </w:rPr>
        <w:t xml:space="preserve">’usinage intelligent débarque sur l’EMO 2019 </w:t>
      </w:r>
      <w:r w:rsidR="00491BA8">
        <w:rPr>
          <w:rFonts w:ascii="Arial" w:hAnsi="Arial" w:cs="Arial"/>
          <w:bCs/>
          <w:color w:val="C32B3F"/>
          <w:sz w:val="36"/>
          <w:szCs w:val="36"/>
        </w:rPr>
        <w:br/>
      </w:r>
      <w:r w:rsidR="00C9648E" w:rsidRPr="00205B14">
        <w:rPr>
          <w:rFonts w:ascii="Arial" w:hAnsi="Arial" w:cs="Arial"/>
          <w:bCs/>
          <w:color w:val="C32B3F"/>
          <w:sz w:val="36"/>
          <w:szCs w:val="36"/>
        </w:rPr>
        <w:t xml:space="preserve">avec l’e-SPINDLE </w:t>
      </w:r>
      <w:r w:rsidR="002D310E" w:rsidRPr="00205B14">
        <w:rPr>
          <w:rFonts w:ascii="Arial" w:hAnsi="Arial" w:cs="Arial"/>
          <w:bCs/>
          <w:color w:val="C32B3F"/>
          <w:sz w:val="36"/>
          <w:szCs w:val="36"/>
        </w:rPr>
        <w:t xml:space="preserve"> </w:t>
      </w:r>
    </w:p>
    <w:p w14:paraId="36DE33C8" w14:textId="77777777" w:rsidR="00205B14" w:rsidRPr="00205B14" w:rsidRDefault="00205B14" w:rsidP="00C9648E">
      <w:pPr>
        <w:spacing w:after="0" w:line="360" w:lineRule="auto"/>
        <w:jc w:val="center"/>
        <w:rPr>
          <w:rFonts w:ascii="Arial" w:hAnsi="Arial" w:cs="Arial"/>
          <w:bCs/>
          <w:color w:val="C32B3F"/>
          <w:sz w:val="36"/>
          <w:szCs w:val="36"/>
        </w:rPr>
      </w:pPr>
    </w:p>
    <w:p w14:paraId="0CEE93A8" w14:textId="3BD7F10A" w:rsidR="00C9648E" w:rsidRPr="00205B14" w:rsidRDefault="00C9648E" w:rsidP="00C9648E">
      <w:pPr>
        <w:spacing w:after="0" w:line="360" w:lineRule="auto"/>
        <w:jc w:val="center"/>
        <w:rPr>
          <w:rFonts w:ascii="Arial" w:hAnsi="Arial" w:cs="Arial"/>
          <w:b/>
          <w:color w:val="000000" w:themeColor="text1"/>
        </w:rPr>
      </w:pPr>
      <w:r w:rsidRPr="00205B14">
        <w:rPr>
          <w:rFonts w:ascii="Arial" w:hAnsi="Arial" w:cs="Arial"/>
          <w:b/>
          <w:color w:val="000000" w:themeColor="text1"/>
        </w:rPr>
        <w:t xml:space="preserve">PCI SCEMM, Cetim et Art et Métiers (AMVALOR) dévoilent à Hanovre une </w:t>
      </w:r>
      <w:proofErr w:type="spellStart"/>
      <w:r w:rsidRPr="00205B14">
        <w:rPr>
          <w:rFonts w:ascii="Arial" w:hAnsi="Arial" w:cs="Arial"/>
          <w:b/>
          <w:color w:val="000000" w:themeColor="text1"/>
        </w:rPr>
        <w:t>électroboche</w:t>
      </w:r>
      <w:proofErr w:type="spellEnd"/>
      <w:r w:rsidRPr="00205B14">
        <w:rPr>
          <w:rFonts w:ascii="Arial" w:hAnsi="Arial" w:cs="Arial"/>
          <w:b/>
          <w:color w:val="000000" w:themeColor="text1"/>
        </w:rPr>
        <w:t xml:space="preserve"> inédite capable de récolter des informations au plus près de la zone d’usinage et d’intervenir en temps réel sur le processus de coupe.</w:t>
      </w:r>
    </w:p>
    <w:p w14:paraId="16FEF6B6" w14:textId="77777777" w:rsidR="00205B14" w:rsidRPr="00205B14" w:rsidRDefault="00205B14" w:rsidP="00205B14">
      <w:pPr>
        <w:spacing w:after="0"/>
        <w:jc w:val="both"/>
        <w:rPr>
          <w:rFonts w:ascii="Arial" w:hAnsi="Arial" w:cs="Arial"/>
          <w:b/>
          <w:bCs/>
        </w:rPr>
      </w:pPr>
    </w:p>
    <w:p w14:paraId="36997E7B" w14:textId="77777777" w:rsidR="00491BA8" w:rsidRDefault="00491BA8" w:rsidP="00205B14">
      <w:pPr>
        <w:spacing w:after="0"/>
        <w:jc w:val="both"/>
        <w:rPr>
          <w:rFonts w:ascii="Arial" w:hAnsi="Arial" w:cs="Arial"/>
          <w:b/>
          <w:bCs/>
        </w:rPr>
      </w:pPr>
    </w:p>
    <w:p w14:paraId="73C411C4" w14:textId="5EA68DC4" w:rsidR="00C9648E" w:rsidRPr="00205B14" w:rsidRDefault="00C9648E" w:rsidP="00205B14">
      <w:pPr>
        <w:spacing w:after="0"/>
        <w:jc w:val="both"/>
        <w:rPr>
          <w:rFonts w:ascii="Arial" w:hAnsi="Arial" w:cs="Arial"/>
          <w:b/>
          <w:bCs/>
        </w:rPr>
      </w:pPr>
      <w:r w:rsidRPr="00205B14">
        <w:rPr>
          <w:rFonts w:ascii="Arial" w:hAnsi="Arial" w:cs="Arial"/>
          <w:b/>
          <w:bCs/>
        </w:rPr>
        <w:t>Une technologie…</w:t>
      </w:r>
    </w:p>
    <w:p w14:paraId="43EA7C98" w14:textId="77777777" w:rsidR="00C9648E" w:rsidRPr="00205B14" w:rsidRDefault="00C9648E" w:rsidP="00205B14">
      <w:pPr>
        <w:spacing w:after="0"/>
        <w:jc w:val="both"/>
        <w:rPr>
          <w:rFonts w:ascii="Arial" w:hAnsi="Arial" w:cs="Arial"/>
        </w:rPr>
      </w:pPr>
      <w:r w:rsidRPr="00205B14">
        <w:rPr>
          <w:rFonts w:ascii="Arial" w:hAnsi="Arial" w:cs="Arial"/>
        </w:rPr>
        <w:t xml:space="preserve">En première mondiale ! Sur l’EMO 2019, du 16 au 21 septembre 2019 à Hanovre (Allemagne), PCI SCEMM (stand Hall 12 stand A06) ouvre la voie à l’usinage intelligent avec e-SPINDLE. Développée en commun avec AMVALOR et le </w:t>
      </w:r>
      <w:proofErr w:type="spellStart"/>
      <w:r w:rsidRPr="00205B14">
        <w:rPr>
          <w:rFonts w:ascii="Arial" w:hAnsi="Arial" w:cs="Arial"/>
        </w:rPr>
        <w:t>Cetim</w:t>
      </w:r>
      <w:proofErr w:type="spellEnd"/>
      <w:r w:rsidRPr="00205B14">
        <w:rPr>
          <w:rFonts w:ascii="Arial" w:hAnsi="Arial" w:cs="Arial"/>
        </w:rPr>
        <w:t xml:space="preserve">, cette </w:t>
      </w:r>
      <w:proofErr w:type="spellStart"/>
      <w:r w:rsidRPr="00205B14">
        <w:rPr>
          <w:rFonts w:ascii="Arial" w:hAnsi="Arial" w:cs="Arial"/>
        </w:rPr>
        <w:t>électrobroche</w:t>
      </w:r>
      <w:proofErr w:type="spellEnd"/>
      <w:r w:rsidRPr="00205B14">
        <w:rPr>
          <w:rFonts w:ascii="Arial" w:hAnsi="Arial" w:cs="Arial"/>
        </w:rPr>
        <w:t xml:space="preserve"> inédite embarque en effet tout l’équipement nécessaire pour surveiller au plus près le processus de coupe et agir en temps réel. La technologie intégrée, permettant la gestion efficace de capteurs et actionneurs en repère tournant, est issue de travaux communs sur l’usinage intelligent du Cetim et du campus Arts et Métiers d’Aix-en-Provence (projet INTELUS, 2014-2017). Les objectifs sont de gagner en productivité, en optimisant la durée de vie de l’outil, et en qualité, grâce à la correction instantanée des processus. Un tel dispositif permet également de sécuriser des processus d’usinage à très haute valeur ajoutée, ou encore de mettre en œuvre des processus adaptatifs, capables de modifier en temps réel les paramètres opératoires.</w:t>
      </w:r>
    </w:p>
    <w:p w14:paraId="15BABEBE" w14:textId="77777777" w:rsidR="00C9648E" w:rsidRPr="00205B14" w:rsidRDefault="00C9648E" w:rsidP="00205B14">
      <w:pPr>
        <w:spacing w:after="0"/>
        <w:jc w:val="both"/>
        <w:rPr>
          <w:rFonts w:ascii="Arial" w:hAnsi="Arial" w:cs="Arial"/>
        </w:rPr>
      </w:pPr>
    </w:p>
    <w:p w14:paraId="38344B9A" w14:textId="77777777" w:rsidR="00C9648E" w:rsidRPr="00205B14" w:rsidRDefault="00C9648E" w:rsidP="00205B14">
      <w:pPr>
        <w:spacing w:after="0"/>
        <w:jc w:val="both"/>
        <w:rPr>
          <w:rFonts w:ascii="Arial" w:hAnsi="Arial" w:cs="Arial"/>
          <w:b/>
          <w:bCs/>
        </w:rPr>
      </w:pPr>
      <w:r w:rsidRPr="00205B14">
        <w:rPr>
          <w:rFonts w:ascii="Arial" w:hAnsi="Arial" w:cs="Arial"/>
          <w:b/>
          <w:bCs/>
        </w:rPr>
        <w:t xml:space="preserve">…trois applications </w:t>
      </w:r>
    </w:p>
    <w:p w14:paraId="49451ED9" w14:textId="77777777" w:rsidR="00C9648E" w:rsidRPr="00205B14" w:rsidRDefault="00C9648E" w:rsidP="00205B14">
      <w:pPr>
        <w:spacing w:after="0"/>
        <w:jc w:val="both"/>
        <w:rPr>
          <w:rFonts w:ascii="Arial" w:hAnsi="Arial" w:cs="Arial"/>
        </w:rPr>
      </w:pPr>
      <w:r w:rsidRPr="00205B14">
        <w:rPr>
          <w:rFonts w:ascii="Arial" w:hAnsi="Arial" w:cs="Arial"/>
        </w:rPr>
        <w:t xml:space="preserve">Sur le salon, le concept e-SPINDLE présente trois applications d’usinage intelligent : </w:t>
      </w:r>
    </w:p>
    <w:p w14:paraId="7BBD44BE" w14:textId="77777777" w:rsidR="00C9648E" w:rsidRPr="00205B14" w:rsidRDefault="00C9648E" w:rsidP="00205B14">
      <w:pPr>
        <w:pStyle w:val="Paragraphedeliste"/>
        <w:numPr>
          <w:ilvl w:val="0"/>
          <w:numId w:val="1"/>
        </w:numPr>
        <w:spacing w:after="0"/>
        <w:jc w:val="both"/>
        <w:rPr>
          <w:rFonts w:ascii="Arial" w:hAnsi="Arial" w:cs="Arial"/>
        </w:rPr>
      </w:pPr>
      <w:r w:rsidRPr="00205B14">
        <w:rPr>
          <w:rFonts w:ascii="Arial" w:hAnsi="Arial" w:cs="Arial"/>
        </w:rPr>
        <w:t xml:space="preserve">Un porte-outil de surveillance du processus de coupe (efforts, vibrations, pression de liquide de coupe), </w:t>
      </w:r>
    </w:p>
    <w:p w14:paraId="27032C07" w14:textId="77777777" w:rsidR="00C9648E" w:rsidRPr="00205B14" w:rsidRDefault="00C9648E" w:rsidP="00205B14">
      <w:pPr>
        <w:pStyle w:val="Paragraphedeliste"/>
        <w:numPr>
          <w:ilvl w:val="0"/>
          <w:numId w:val="1"/>
        </w:numPr>
        <w:spacing w:after="0"/>
        <w:jc w:val="both"/>
        <w:rPr>
          <w:rFonts w:ascii="Arial" w:hAnsi="Arial" w:cs="Arial"/>
        </w:rPr>
      </w:pPr>
      <w:r w:rsidRPr="00205B14">
        <w:rPr>
          <w:rFonts w:ascii="Arial" w:hAnsi="Arial" w:cs="Arial"/>
        </w:rPr>
        <w:t>Un porte-outil de perçage vibratoire adaptatif, piloté par niveaux de seuil d’effort</w:t>
      </w:r>
    </w:p>
    <w:p w14:paraId="3FBCDDE3" w14:textId="77777777" w:rsidR="00C9648E" w:rsidRPr="00205B14" w:rsidRDefault="00C9648E" w:rsidP="00205B14">
      <w:pPr>
        <w:pStyle w:val="Paragraphedeliste"/>
        <w:numPr>
          <w:ilvl w:val="0"/>
          <w:numId w:val="1"/>
        </w:numPr>
        <w:spacing w:after="0"/>
        <w:jc w:val="both"/>
        <w:rPr>
          <w:rFonts w:ascii="Arial" w:hAnsi="Arial" w:cs="Arial"/>
        </w:rPr>
      </w:pPr>
      <w:r w:rsidRPr="00205B14">
        <w:rPr>
          <w:rFonts w:ascii="Arial" w:hAnsi="Arial" w:cs="Arial"/>
        </w:rPr>
        <w:t>Un porte-outil de rodage, intégrant une mesure « temps-réel » du diamètre de la pièce, utilisée pour l’asservissement de la position des parties actives (pierres abrasives).</w:t>
      </w:r>
    </w:p>
    <w:p w14:paraId="4B992308" w14:textId="77777777" w:rsidR="00C9648E" w:rsidRPr="00205B14" w:rsidRDefault="00C9648E" w:rsidP="00205B14">
      <w:pPr>
        <w:spacing w:after="0"/>
        <w:jc w:val="both"/>
        <w:rPr>
          <w:rFonts w:ascii="Arial" w:hAnsi="Arial" w:cs="Arial"/>
        </w:rPr>
      </w:pPr>
    </w:p>
    <w:p w14:paraId="4CE1D461" w14:textId="77777777" w:rsidR="00C9648E" w:rsidRPr="00205B14" w:rsidRDefault="00C9648E" w:rsidP="00205B14">
      <w:pPr>
        <w:spacing w:after="0"/>
        <w:jc w:val="both"/>
        <w:rPr>
          <w:rFonts w:ascii="Arial" w:hAnsi="Arial" w:cs="Arial"/>
        </w:rPr>
      </w:pPr>
      <w:r w:rsidRPr="00205B14">
        <w:rPr>
          <w:rFonts w:ascii="Arial" w:hAnsi="Arial" w:cs="Arial"/>
        </w:rPr>
        <w:t>Le concept e-SPINDLE ouvre la voie à de nombreuses autres applications d’usinage intelligent et connecté.</w:t>
      </w:r>
    </w:p>
    <w:p w14:paraId="0E9D6B5A" w14:textId="77777777" w:rsidR="00C9648E" w:rsidRPr="00205B14" w:rsidRDefault="00C9648E" w:rsidP="00205B14">
      <w:pPr>
        <w:spacing w:after="0"/>
        <w:jc w:val="both"/>
        <w:rPr>
          <w:rFonts w:ascii="Arial" w:hAnsi="Arial" w:cs="Arial"/>
        </w:rPr>
      </w:pPr>
    </w:p>
    <w:p w14:paraId="482C1491" w14:textId="77777777" w:rsidR="00C9648E" w:rsidRPr="00205B14" w:rsidRDefault="00C9648E" w:rsidP="00205B14">
      <w:pPr>
        <w:spacing w:after="0"/>
        <w:jc w:val="both"/>
        <w:rPr>
          <w:rFonts w:ascii="Arial" w:hAnsi="Arial" w:cs="Arial"/>
        </w:rPr>
      </w:pPr>
      <w:r w:rsidRPr="00205B14">
        <w:rPr>
          <w:rFonts w:ascii="Arial" w:hAnsi="Arial" w:cs="Arial"/>
        </w:rPr>
        <w:t xml:space="preserve">Une </w:t>
      </w:r>
      <w:hyperlink r:id="rId10" w:history="1">
        <w:r w:rsidRPr="00205B14">
          <w:rPr>
            <w:rStyle w:val="Lienhypertexte"/>
            <w:rFonts w:ascii="Arial" w:hAnsi="Arial" w:cs="Arial"/>
            <w:color w:val="auto"/>
          </w:rPr>
          <w:t>vidéo de présentation de e-SPINDLE</w:t>
        </w:r>
      </w:hyperlink>
      <w:r w:rsidRPr="00205B14">
        <w:rPr>
          <w:rFonts w:ascii="Arial" w:hAnsi="Arial" w:cs="Arial"/>
        </w:rPr>
        <w:t xml:space="preserve"> est disponible sur la chaîne </w:t>
      </w:r>
      <w:proofErr w:type="spellStart"/>
      <w:r w:rsidRPr="00205B14">
        <w:rPr>
          <w:rFonts w:ascii="Arial" w:hAnsi="Arial" w:cs="Arial"/>
        </w:rPr>
        <w:t>Youtube</w:t>
      </w:r>
      <w:proofErr w:type="spellEnd"/>
      <w:r w:rsidRPr="00205B14">
        <w:rPr>
          <w:rFonts w:ascii="Arial" w:hAnsi="Arial" w:cs="Arial"/>
        </w:rPr>
        <w:t xml:space="preserve"> PCI SCEMM.</w:t>
      </w:r>
    </w:p>
    <w:p w14:paraId="5E1DD358" w14:textId="77777777" w:rsidR="00C9648E" w:rsidRPr="00205B14" w:rsidRDefault="00C9648E" w:rsidP="00205B14">
      <w:pPr>
        <w:spacing w:after="0"/>
        <w:jc w:val="both"/>
        <w:rPr>
          <w:rFonts w:ascii="Arial" w:hAnsi="Arial" w:cs="Arial"/>
        </w:rPr>
      </w:pPr>
    </w:p>
    <w:p w14:paraId="3941BA8D" w14:textId="77777777" w:rsidR="00C9648E" w:rsidRPr="00205B14" w:rsidRDefault="00C9648E" w:rsidP="00C9648E">
      <w:pPr>
        <w:spacing w:after="0"/>
        <w:rPr>
          <w:rFonts w:ascii="Arial" w:hAnsi="Arial" w:cs="Arial"/>
        </w:rPr>
      </w:pPr>
    </w:p>
    <w:p w14:paraId="299E760F" w14:textId="77777777" w:rsidR="00C9648E" w:rsidRPr="00205B14" w:rsidRDefault="00C9648E" w:rsidP="00C9648E">
      <w:pPr>
        <w:spacing w:after="0"/>
        <w:rPr>
          <w:rFonts w:ascii="Arial" w:hAnsi="Arial" w:cs="Arial"/>
        </w:rPr>
      </w:pPr>
    </w:p>
    <w:p w14:paraId="3F23F830" w14:textId="77777777" w:rsidR="00C9648E" w:rsidRPr="00205B14" w:rsidRDefault="00C9648E" w:rsidP="00C9648E">
      <w:pPr>
        <w:spacing w:after="0"/>
        <w:rPr>
          <w:rFonts w:ascii="Arial" w:hAnsi="Arial" w:cs="Arial"/>
          <w:b/>
          <w:bCs/>
          <w:sz w:val="20"/>
          <w:szCs w:val="20"/>
        </w:rPr>
      </w:pPr>
      <w:r w:rsidRPr="00205B14">
        <w:rPr>
          <w:rFonts w:ascii="Arial" w:hAnsi="Arial" w:cs="Arial"/>
          <w:b/>
          <w:bCs/>
          <w:sz w:val="20"/>
          <w:szCs w:val="20"/>
        </w:rPr>
        <w:t>A propos de PCI</w:t>
      </w:r>
    </w:p>
    <w:p w14:paraId="61F52200" w14:textId="77777777" w:rsidR="00C9648E" w:rsidRPr="00205B14" w:rsidRDefault="00C9648E" w:rsidP="00C9648E">
      <w:pPr>
        <w:spacing w:after="0"/>
        <w:rPr>
          <w:rFonts w:ascii="Arial" w:hAnsi="Arial" w:cs="Arial"/>
          <w:b/>
          <w:bCs/>
          <w:sz w:val="20"/>
          <w:szCs w:val="20"/>
        </w:rPr>
      </w:pPr>
      <w:r w:rsidRPr="00205B14">
        <w:rPr>
          <w:rFonts w:ascii="Arial" w:hAnsi="Arial" w:cs="Arial"/>
          <w:b/>
          <w:bCs/>
          <w:sz w:val="20"/>
          <w:szCs w:val="20"/>
        </w:rPr>
        <w:t>Constructeur historique et acteur de l’innovation</w:t>
      </w:r>
    </w:p>
    <w:p w14:paraId="14264EAB" w14:textId="77777777" w:rsidR="00C9648E" w:rsidRPr="00205B14" w:rsidRDefault="00C9648E" w:rsidP="00C9648E">
      <w:pPr>
        <w:spacing w:after="0"/>
        <w:rPr>
          <w:rFonts w:ascii="Arial" w:hAnsi="Arial" w:cs="Arial"/>
          <w:b/>
          <w:bCs/>
          <w:sz w:val="20"/>
          <w:szCs w:val="20"/>
        </w:rPr>
      </w:pPr>
    </w:p>
    <w:p w14:paraId="1CA4A27B" w14:textId="38236063" w:rsidR="00C9648E" w:rsidRPr="00205B14" w:rsidRDefault="00C9648E" w:rsidP="00205B14">
      <w:pPr>
        <w:spacing w:after="0" w:line="360" w:lineRule="auto"/>
        <w:jc w:val="both"/>
        <w:rPr>
          <w:rFonts w:ascii="Arial" w:hAnsi="Arial" w:cs="Arial"/>
          <w:sz w:val="20"/>
          <w:szCs w:val="20"/>
        </w:rPr>
      </w:pPr>
      <w:r w:rsidRPr="00205B14">
        <w:rPr>
          <w:rFonts w:ascii="Arial" w:hAnsi="Arial" w:cs="Arial"/>
          <w:sz w:val="20"/>
          <w:szCs w:val="20"/>
        </w:rPr>
        <w:t>Filiale du groupe taïwanais TONGTAI depuis 2015 et constructeur de machines-outils depuis 1950, PCI-SCEMM est aussi concepteur de systèmes d’usinage par enlèvement de copeaux. Destinées à l’industrie automobile, ses machines-outils et les process d’usinage associés sont conçus pour l’usinage de pièces en très grande série. De plus, PCI-SCEMM est un fournisseur de services de qualité (service après-vente, rétrofit, rénovation et formation). A ce jour, l’entreprise travaille avec les constructeurs automobiles et leurs sous-traitants de rang 1 voire 2 et a implanté plus de 1 000 machines dans le monde.</w:t>
      </w:r>
    </w:p>
    <w:p w14:paraId="72FA1089" w14:textId="77777777" w:rsidR="00C9648E" w:rsidRPr="00205B14" w:rsidRDefault="00C9648E" w:rsidP="00205B14">
      <w:pPr>
        <w:spacing w:after="0" w:line="360" w:lineRule="auto"/>
        <w:jc w:val="both"/>
        <w:rPr>
          <w:rFonts w:ascii="Arial" w:hAnsi="Arial" w:cs="Arial"/>
          <w:sz w:val="20"/>
          <w:szCs w:val="20"/>
        </w:rPr>
      </w:pPr>
      <w:r w:rsidRPr="00205B14">
        <w:rPr>
          <w:rFonts w:ascii="Arial" w:hAnsi="Arial" w:cs="Arial"/>
          <w:sz w:val="20"/>
          <w:szCs w:val="20"/>
        </w:rPr>
        <w:t>PCI-SCEMM s’allie avec écoles et entreprises pour des partenariats régionaux et nationaux, enrichissants et innovants afin de progresser dans l’industrie du futur et offrir les meilleures solutions à ses clients.</w:t>
      </w:r>
    </w:p>
    <w:p w14:paraId="7E595F63" w14:textId="77777777" w:rsidR="00C9648E" w:rsidRPr="00205B14" w:rsidRDefault="00C9648E" w:rsidP="00C9648E">
      <w:pPr>
        <w:spacing w:after="0"/>
        <w:rPr>
          <w:rFonts w:ascii="Arial" w:hAnsi="Arial" w:cs="Arial"/>
          <w:sz w:val="20"/>
          <w:szCs w:val="20"/>
        </w:rPr>
      </w:pPr>
    </w:p>
    <w:p w14:paraId="45AD507A" w14:textId="77777777" w:rsidR="00C9648E" w:rsidRPr="00205B14" w:rsidRDefault="00C9648E" w:rsidP="00C9648E">
      <w:pPr>
        <w:spacing w:after="0"/>
        <w:rPr>
          <w:rFonts w:ascii="Arial" w:hAnsi="Arial" w:cs="Arial"/>
          <w:b/>
          <w:bCs/>
          <w:sz w:val="20"/>
          <w:szCs w:val="20"/>
        </w:rPr>
      </w:pPr>
      <w:r w:rsidRPr="00205B14">
        <w:rPr>
          <w:rFonts w:ascii="Arial" w:hAnsi="Arial" w:cs="Arial"/>
          <w:b/>
          <w:bCs/>
          <w:sz w:val="20"/>
          <w:szCs w:val="20"/>
        </w:rPr>
        <w:t>A propos de AMVALOR</w:t>
      </w:r>
    </w:p>
    <w:p w14:paraId="24F5275F" w14:textId="77777777" w:rsidR="00C9648E" w:rsidRPr="00205B14" w:rsidRDefault="00C9648E" w:rsidP="00C9648E">
      <w:pPr>
        <w:rPr>
          <w:rFonts w:ascii="Arial" w:hAnsi="Arial" w:cs="Arial"/>
          <w:sz w:val="20"/>
          <w:szCs w:val="20"/>
        </w:rPr>
      </w:pPr>
      <w:r w:rsidRPr="00205B14">
        <w:rPr>
          <w:rFonts w:ascii="Arial" w:hAnsi="Arial" w:cs="Arial"/>
          <w:b/>
          <w:bCs/>
          <w:sz w:val="20"/>
          <w:szCs w:val="20"/>
          <w:lang w:eastAsia="fr-FR"/>
        </w:rPr>
        <w:t>Promoteur d’innovation pour l’industrie du futur</w:t>
      </w:r>
    </w:p>
    <w:p w14:paraId="6BF43330" w14:textId="77777777" w:rsidR="00C9648E" w:rsidRPr="00205B14" w:rsidRDefault="00C9648E" w:rsidP="00205B14">
      <w:pPr>
        <w:pStyle w:val="Pa2"/>
        <w:spacing w:line="360" w:lineRule="auto"/>
        <w:jc w:val="both"/>
        <w:rPr>
          <w:rFonts w:ascii="Arial" w:hAnsi="Arial" w:cs="Arial"/>
          <w:sz w:val="20"/>
          <w:szCs w:val="20"/>
        </w:rPr>
      </w:pPr>
      <w:r w:rsidRPr="00205B14">
        <w:rPr>
          <w:rFonts w:ascii="Arial" w:hAnsi="Arial" w:cs="Arial"/>
          <w:sz w:val="20"/>
          <w:szCs w:val="20"/>
        </w:rPr>
        <w:t>Structure historique de valorisation d’Arts et Métiers, créée en 1973, AMVALOR, SAS filiale de l’école, est le promoteur des ac</w:t>
      </w:r>
      <w:r w:rsidRPr="00205B14">
        <w:rPr>
          <w:rFonts w:ascii="Arial" w:hAnsi="Arial" w:cs="Arial"/>
          <w:sz w:val="20"/>
          <w:szCs w:val="20"/>
        </w:rPr>
        <w:softHyphen/>
        <w:t>tivités de recherche partenariale et de valorisation des sa</w:t>
      </w:r>
      <w:r w:rsidRPr="00205B14">
        <w:rPr>
          <w:rFonts w:ascii="Arial" w:hAnsi="Arial" w:cs="Arial"/>
          <w:sz w:val="20"/>
          <w:szCs w:val="20"/>
        </w:rPr>
        <w:softHyphen/>
        <w:t>voir-faire de l’Etablissement. AMVALOR favorise et développe les relations entre les équipes d’Arts et Métiers et les entreprises en quête de solutions technologiques innovantes, de compétences en re</w:t>
      </w:r>
      <w:r w:rsidRPr="00205B14">
        <w:rPr>
          <w:rFonts w:ascii="Arial" w:hAnsi="Arial" w:cs="Arial"/>
          <w:sz w:val="20"/>
          <w:szCs w:val="20"/>
        </w:rPr>
        <w:softHyphen/>
        <w:t>cherche et en ingénierie. AMVALOR valorise la propriété intellectuelle et les idées innovantes issues des études de recherche des laboratoires d’Arts et Métiers (</w:t>
      </w:r>
      <w:proofErr w:type="spellStart"/>
      <w:r w:rsidRPr="00205B14">
        <w:rPr>
          <w:rFonts w:ascii="Arial" w:hAnsi="Arial" w:cs="Arial"/>
          <w:sz w:val="20"/>
          <w:szCs w:val="20"/>
        </w:rPr>
        <w:t>licensing</w:t>
      </w:r>
      <w:proofErr w:type="spellEnd"/>
      <w:r w:rsidRPr="00205B14">
        <w:rPr>
          <w:rFonts w:ascii="Arial" w:hAnsi="Arial" w:cs="Arial"/>
          <w:sz w:val="20"/>
          <w:szCs w:val="20"/>
        </w:rPr>
        <w:t>, maturation et essaimage de start-ups, participation à des fonds d’investissement). Ses 9 implantations régionales, au cœur des tissus socio-écono</w:t>
      </w:r>
      <w:r w:rsidRPr="00205B14">
        <w:rPr>
          <w:rFonts w:ascii="Arial" w:hAnsi="Arial" w:cs="Arial"/>
          <w:sz w:val="20"/>
          <w:szCs w:val="20"/>
        </w:rPr>
        <w:softHyphen/>
        <w:t>miques territoriaux, permettent de proposer un éventail de com</w:t>
      </w:r>
      <w:r w:rsidRPr="00205B14">
        <w:rPr>
          <w:rFonts w:ascii="Arial" w:hAnsi="Arial" w:cs="Arial"/>
          <w:sz w:val="20"/>
          <w:szCs w:val="20"/>
        </w:rPr>
        <w:softHyphen/>
        <w:t>pétences multidisciplinaires et sur-mesure à destination des entreprises, en collaborant avec les pôles de compétitivité, les clusters d’entreprises, les centres techniques et les syndi</w:t>
      </w:r>
      <w:r w:rsidRPr="00205B14">
        <w:rPr>
          <w:rFonts w:ascii="Arial" w:hAnsi="Arial" w:cs="Arial"/>
          <w:sz w:val="20"/>
          <w:szCs w:val="20"/>
        </w:rPr>
        <w:softHyphen/>
        <w:t>cats professionnels. AMVALOR porte, avec Arts et Métiers, l’institut Carnot ARTS.</w:t>
      </w:r>
    </w:p>
    <w:p w14:paraId="125CA3D0" w14:textId="77777777" w:rsidR="00C9648E" w:rsidRPr="00205B14" w:rsidRDefault="00C9648E" w:rsidP="00C9648E">
      <w:pPr>
        <w:spacing w:after="0"/>
        <w:rPr>
          <w:rFonts w:ascii="Arial" w:hAnsi="Arial" w:cs="Arial"/>
          <w:sz w:val="20"/>
          <w:szCs w:val="20"/>
        </w:rPr>
      </w:pPr>
    </w:p>
    <w:p w14:paraId="10CC9771" w14:textId="31C79400" w:rsidR="00C9648E" w:rsidRPr="00205B14" w:rsidRDefault="00C9648E" w:rsidP="000812EB">
      <w:pPr>
        <w:spacing w:after="0" w:line="360" w:lineRule="auto"/>
        <w:jc w:val="both"/>
        <w:rPr>
          <w:rFonts w:ascii="Arial" w:hAnsi="Arial" w:cs="Arial"/>
          <w:sz w:val="20"/>
          <w:szCs w:val="20"/>
        </w:rPr>
      </w:pPr>
    </w:p>
    <w:p w14:paraId="4033D409" w14:textId="32E141A7" w:rsidR="00C9648E" w:rsidRPr="00205B14" w:rsidRDefault="00C9648E" w:rsidP="000812EB">
      <w:pPr>
        <w:spacing w:after="0" w:line="360" w:lineRule="auto"/>
        <w:jc w:val="both"/>
        <w:rPr>
          <w:rFonts w:ascii="Arial" w:hAnsi="Arial" w:cs="Arial"/>
          <w:sz w:val="20"/>
          <w:szCs w:val="20"/>
        </w:rPr>
      </w:pPr>
    </w:p>
    <w:p w14:paraId="19BF27D0" w14:textId="29CFD657" w:rsidR="00CF3248" w:rsidRPr="00205B14" w:rsidRDefault="00CF3248" w:rsidP="009F7AD2">
      <w:pPr>
        <w:shd w:val="clear" w:color="auto" w:fill="D9D9D9" w:themeFill="background1" w:themeFillShade="D9"/>
        <w:autoSpaceDE w:val="0"/>
        <w:autoSpaceDN w:val="0"/>
        <w:adjustRightInd w:val="0"/>
        <w:spacing w:after="0" w:line="360" w:lineRule="auto"/>
        <w:jc w:val="both"/>
        <w:rPr>
          <w:rFonts w:ascii="Arial" w:hAnsi="Arial" w:cs="Arial"/>
          <w:color w:val="000000"/>
          <w:sz w:val="20"/>
          <w:szCs w:val="20"/>
        </w:rPr>
      </w:pPr>
      <w:bookmarkStart w:id="1" w:name="eztoc3579092_0_0_1"/>
      <w:bookmarkEnd w:id="1"/>
      <w:r w:rsidRPr="00205B14">
        <w:rPr>
          <w:rFonts w:ascii="Arial" w:hAnsi="Arial" w:cs="Arial"/>
          <w:b/>
          <w:bCs/>
          <w:color w:val="000000"/>
          <w:sz w:val="20"/>
          <w:szCs w:val="20"/>
        </w:rPr>
        <w:t>A propos du Cetim</w:t>
      </w:r>
    </w:p>
    <w:p w14:paraId="13FFF407" w14:textId="23703E9B" w:rsidR="00CF3248" w:rsidRPr="00205B14" w:rsidRDefault="00205B14" w:rsidP="004C0C94">
      <w:pPr>
        <w:shd w:val="clear" w:color="auto" w:fill="D9D9D9" w:themeFill="background1" w:themeFillShade="D9"/>
        <w:autoSpaceDE w:val="0"/>
        <w:autoSpaceDN w:val="0"/>
        <w:adjustRightInd w:val="0"/>
        <w:spacing w:after="0" w:line="360" w:lineRule="auto"/>
        <w:jc w:val="both"/>
        <w:rPr>
          <w:rFonts w:ascii="Arial" w:hAnsi="Arial" w:cs="Arial"/>
          <w:color w:val="000000"/>
          <w:sz w:val="20"/>
          <w:szCs w:val="20"/>
        </w:rPr>
      </w:pPr>
      <w:r w:rsidRPr="00205B14">
        <w:rPr>
          <w:rFonts w:ascii="Arial" w:hAnsi="Arial" w:cs="Arial"/>
          <w:noProof/>
          <w:sz w:val="20"/>
          <w:szCs w:val="20"/>
          <w:lang w:eastAsia="fr-FR"/>
        </w:rPr>
        <w:drawing>
          <wp:anchor distT="0" distB="0" distL="114300" distR="114300" simplePos="0" relativeHeight="251657216" behindDoc="0" locked="0" layoutInCell="1" allowOverlap="1" wp14:anchorId="7E363CF4" wp14:editId="6E649617">
            <wp:simplePos x="0" y="0"/>
            <wp:positionH relativeFrom="margin">
              <wp:posOffset>-44450</wp:posOffset>
            </wp:positionH>
            <wp:positionV relativeFrom="margin">
              <wp:posOffset>7598410</wp:posOffset>
            </wp:positionV>
            <wp:extent cx="5972810" cy="1391920"/>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acts NP.jpg"/>
                    <pic:cNvPicPr/>
                  </pic:nvPicPr>
                  <pic:blipFill>
                    <a:blip r:embed="rId11">
                      <a:extLst>
                        <a:ext uri="{28A0092B-C50C-407E-A947-70E740481C1C}">
                          <a14:useLocalDpi xmlns:a14="http://schemas.microsoft.com/office/drawing/2010/main" val="0"/>
                        </a:ext>
                      </a:extLst>
                    </a:blip>
                    <a:stretch>
                      <a:fillRect/>
                    </a:stretch>
                  </pic:blipFill>
                  <pic:spPr>
                    <a:xfrm>
                      <a:off x="0" y="0"/>
                      <a:ext cx="5972810" cy="1391920"/>
                    </a:xfrm>
                    <a:prstGeom prst="rect">
                      <a:avLst/>
                    </a:prstGeom>
                  </pic:spPr>
                </pic:pic>
              </a:graphicData>
            </a:graphic>
          </wp:anchor>
        </w:drawing>
      </w:r>
      <w:r w:rsidR="00CF3248" w:rsidRPr="00205B14">
        <w:rPr>
          <w:rFonts w:ascii="Arial" w:hAnsi="Arial" w:cs="Arial"/>
          <w:color w:val="000000"/>
          <w:sz w:val="20"/>
          <w:szCs w:val="20"/>
        </w:rPr>
        <w:t xml:space="preserve">A la croisée de la recherche et de l’industrie, le Cetim, institut technologique labellisé Carnot, est le centre d’expertise mécanique français. Outil R&amp;D de 6500 entreprises mécaniciennes, il totalise, avec </w:t>
      </w:r>
      <w:r w:rsidR="00CF3248" w:rsidRPr="00205B14">
        <w:rPr>
          <w:rFonts w:ascii="Arial" w:hAnsi="Arial" w:cs="Arial"/>
          <w:color w:val="000000"/>
          <w:sz w:val="20"/>
          <w:szCs w:val="20"/>
        </w:rPr>
        <w:lastRenderedPageBreak/>
        <w:t>ses centres associés et filiales, 1100 personnes dont plus des 2/3 d’ingénieurs et techniciens, pour 150 M€ de chiffre d’affaires. Fédérateur de programmes innovants, il pilote de grands projets industriels ou R&amp;D multipartenaires et ce sur 5 axes principaux : conception, simulation, essais - procédés de fabrication et matériaux - mécatronique, contrôle et mesure - développement durable - management et appui aux pme. www.cetim.fr</w:t>
      </w:r>
    </w:p>
    <w:sectPr w:rsidR="00CF3248" w:rsidRPr="00205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982"/>
    <w:multiLevelType w:val="hybridMultilevel"/>
    <w:tmpl w:val="D728CE84"/>
    <w:lvl w:ilvl="0" w:tplc="47AC01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DC"/>
    <w:rsid w:val="00023BA8"/>
    <w:rsid w:val="000638A7"/>
    <w:rsid w:val="00070BBD"/>
    <w:rsid w:val="000812EB"/>
    <w:rsid w:val="000A24FA"/>
    <w:rsid w:val="000E1C33"/>
    <w:rsid w:val="000F2F53"/>
    <w:rsid w:val="00105D91"/>
    <w:rsid w:val="00132748"/>
    <w:rsid w:val="001457C0"/>
    <w:rsid w:val="001714F2"/>
    <w:rsid w:val="001723FA"/>
    <w:rsid w:val="0017266E"/>
    <w:rsid w:val="001A12C1"/>
    <w:rsid w:val="001A1B7F"/>
    <w:rsid w:val="001C1DD9"/>
    <w:rsid w:val="001D2DFC"/>
    <w:rsid w:val="001F0226"/>
    <w:rsid w:val="001F3919"/>
    <w:rsid w:val="00204DEC"/>
    <w:rsid w:val="00205B14"/>
    <w:rsid w:val="00227F94"/>
    <w:rsid w:val="00234C07"/>
    <w:rsid w:val="00284E97"/>
    <w:rsid w:val="002A6DB8"/>
    <w:rsid w:val="002B6807"/>
    <w:rsid w:val="002B7BF0"/>
    <w:rsid w:val="002D310E"/>
    <w:rsid w:val="0031465F"/>
    <w:rsid w:val="003212F2"/>
    <w:rsid w:val="00380EC0"/>
    <w:rsid w:val="003936EC"/>
    <w:rsid w:val="003B7DE7"/>
    <w:rsid w:val="003C562A"/>
    <w:rsid w:val="003D2B67"/>
    <w:rsid w:val="003D7D82"/>
    <w:rsid w:val="003F1221"/>
    <w:rsid w:val="003F39FC"/>
    <w:rsid w:val="0040147D"/>
    <w:rsid w:val="00413F98"/>
    <w:rsid w:val="004355DF"/>
    <w:rsid w:val="004653A8"/>
    <w:rsid w:val="00475BC5"/>
    <w:rsid w:val="004816BA"/>
    <w:rsid w:val="00491BA8"/>
    <w:rsid w:val="004A18E7"/>
    <w:rsid w:val="004B5FFD"/>
    <w:rsid w:val="004C0C94"/>
    <w:rsid w:val="004F1DDC"/>
    <w:rsid w:val="00504FBC"/>
    <w:rsid w:val="00514FFD"/>
    <w:rsid w:val="005215E5"/>
    <w:rsid w:val="005225D0"/>
    <w:rsid w:val="0052396B"/>
    <w:rsid w:val="005355F8"/>
    <w:rsid w:val="005733D1"/>
    <w:rsid w:val="005735E5"/>
    <w:rsid w:val="005A511A"/>
    <w:rsid w:val="005A798C"/>
    <w:rsid w:val="005E458E"/>
    <w:rsid w:val="005F0BDA"/>
    <w:rsid w:val="005F3AF9"/>
    <w:rsid w:val="0060298F"/>
    <w:rsid w:val="0063658B"/>
    <w:rsid w:val="00693C2A"/>
    <w:rsid w:val="00696F7D"/>
    <w:rsid w:val="006A2C68"/>
    <w:rsid w:val="006D7478"/>
    <w:rsid w:val="006E77F1"/>
    <w:rsid w:val="006F4A93"/>
    <w:rsid w:val="00702161"/>
    <w:rsid w:val="00786336"/>
    <w:rsid w:val="007905BD"/>
    <w:rsid w:val="007A7002"/>
    <w:rsid w:val="007A7B5D"/>
    <w:rsid w:val="007C495F"/>
    <w:rsid w:val="007C601A"/>
    <w:rsid w:val="007E5F79"/>
    <w:rsid w:val="00825AD4"/>
    <w:rsid w:val="00831038"/>
    <w:rsid w:val="00834441"/>
    <w:rsid w:val="0084146C"/>
    <w:rsid w:val="0084409F"/>
    <w:rsid w:val="0088043A"/>
    <w:rsid w:val="00893C87"/>
    <w:rsid w:val="008B04DC"/>
    <w:rsid w:val="008C503E"/>
    <w:rsid w:val="008F0306"/>
    <w:rsid w:val="0091195F"/>
    <w:rsid w:val="00920125"/>
    <w:rsid w:val="00930251"/>
    <w:rsid w:val="00953F45"/>
    <w:rsid w:val="009629DF"/>
    <w:rsid w:val="009A45D2"/>
    <w:rsid w:val="009B3FDA"/>
    <w:rsid w:val="009D5A67"/>
    <w:rsid w:val="009F560A"/>
    <w:rsid w:val="009F7AD2"/>
    <w:rsid w:val="00A17E33"/>
    <w:rsid w:val="00A5463C"/>
    <w:rsid w:val="00A55072"/>
    <w:rsid w:val="00A66BFA"/>
    <w:rsid w:val="00A94F0E"/>
    <w:rsid w:val="00AD6FE9"/>
    <w:rsid w:val="00B1491D"/>
    <w:rsid w:val="00B32941"/>
    <w:rsid w:val="00B471B7"/>
    <w:rsid w:val="00B60B20"/>
    <w:rsid w:val="00B71ABA"/>
    <w:rsid w:val="00B97501"/>
    <w:rsid w:val="00BA0DA5"/>
    <w:rsid w:val="00BC4D94"/>
    <w:rsid w:val="00C029B4"/>
    <w:rsid w:val="00C06641"/>
    <w:rsid w:val="00C12B6B"/>
    <w:rsid w:val="00C458B6"/>
    <w:rsid w:val="00C50FFA"/>
    <w:rsid w:val="00C57E22"/>
    <w:rsid w:val="00C824B8"/>
    <w:rsid w:val="00C9648E"/>
    <w:rsid w:val="00C967BC"/>
    <w:rsid w:val="00CD3220"/>
    <w:rsid w:val="00CF3248"/>
    <w:rsid w:val="00D13649"/>
    <w:rsid w:val="00D153EB"/>
    <w:rsid w:val="00D55C6C"/>
    <w:rsid w:val="00D567DA"/>
    <w:rsid w:val="00D90BDB"/>
    <w:rsid w:val="00DA7AD6"/>
    <w:rsid w:val="00DE4F57"/>
    <w:rsid w:val="00DE6738"/>
    <w:rsid w:val="00E028DD"/>
    <w:rsid w:val="00E25598"/>
    <w:rsid w:val="00E33A2F"/>
    <w:rsid w:val="00E37808"/>
    <w:rsid w:val="00E50BC7"/>
    <w:rsid w:val="00E51E08"/>
    <w:rsid w:val="00E75F43"/>
    <w:rsid w:val="00EE5A2A"/>
    <w:rsid w:val="00EE6CA7"/>
    <w:rsid w:val="00EE745A"/>
    <w:rsid w:val="00F15EF9"/>
    <w:rsid w:val="00F95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8B82"/>
  <w15:chartTrackingRefBased/>
  <w15:docId w15:val="{7FAEDA55-A85F-44D6-BAC3-C25A6453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3248"/>
    <w:rPr>
      <w:color w:val="0000FF" w:themeColor="hyperlink"/>
      <w:u w:val="single"/>
    </w:rPr>
  </w:style>
  <w:style w:type="paragraph" w:styleId="Textedebulles">
    <w:name w:val="Balloon Text"/>
    <w:basedOn w:val="Normal"/>
    <w:link w:val="TextedebullesCar"/>
    <w:uiPriority w:val="99"/>
    <w:semiHidden/>
    <w:unhideWhenUsed/>
    <w:rsid w:val="005A79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798C"/>
    <w:rPr>
      <w:rFonts w:ascii="Segoe UI" w:hAnsi="Segoe UI" w:cs="Segoe UI"/>
      <w:sz w:val="18"/>
      <w:szCs w:val="18"/>
    </w:rPr>
  </w:style>
  <w:style w:type="character" w:styleId="Textedelespacerserv">
    <w:name w:val="Placeholder Text"/>
    <w:basedOn w:val="Policepardfaut"/>
    <w:uiPriority w:val="99"/>
    <w:semiHidden/>
    <w:rsid w:val="00DE6738"/>
    <w:rPr>
      <w:color w:val="808080"/>
    </w:rPr>
  </w:style>
  <w:style w:type="character" w:styleId="lev">
    <w:name w:val="Strong"/>
    <w:basedOn w:val="Policepardfaut"/>
    <w:uiPriority w:val="22"/>
    <w:qFormat/>
    <w:rsid w:val="000812EB"/>
    <w:rPr>
      <w:b/>
      <w:bCs/>
    </w:rPr>
  </w:style>
  <w:style w:type="character" w:styleId="Accentuation">
    <w:name w:val="Emphasis"/>
    <w:basedOn w:val="Policepardfaut"/>
    <w:uiPriority w:val="20"/>
    <w:qFormat/>
    <w:rsid w:val="000812EB"/>
    <w:rPr>
      <w:i/>
      <w:iCs/>
    </w:rPr>
  </w:style>
  <w:style w:type="character" w:customStyle="1" w:styleId="UnresolvedMention">
    <w:name w:val="Unresolved Mention"/>
    <w:basedOn w:val="Policepardfaut"/>
    <w:uiPriority w:val="99"/>
    <w:semiHidden/>
    <w:unhideWhenUsed/>
    <w:rsid w:val="00B71ABA"/>
    <w:rPr>
      <w:color w:val="605E5C"/>
      <w:shd w:val="clear" w:color="auto" w:fill="E1DFDD"/>
    </w:rPr>
  </w:style>
  <w:style w:type="character" w:styleId="Lienhypertextesuivivisit">
    <w:name w:val="FollowedHyperlink"/>
    <w:basedOn w:val="Policepardfaut"/>
    <w:uiPriority w:val="99"/>
    <w:semiHidden/>
    <w:unhideWhenUsed/>
    <w:rsid w:val="00B71ABA"/>
    <w:rPr>
      <w:color w:val="800080" w:themeColor="followedHyperlink"/>
      <w:u w:val="single"/>
    </w:rPr>
  </w:style>
  <w:style w:type="paragraph" w:customStyle="1" w:styleId="Pa2">
    <w:name w:val="Pa2"/>
    <w:basedOn w:val="Normal"/>
    <w:uiPriority w:val="99"/>
    <w:rsid w:val="00C9648E"/>
    <w:pPr>
      <w:autoSpaceDE w:val="0"/>
      <w:autoSpaceDN w:val="0"/>
      <w:spacing w:after="0" w:line="241" w:lineRule="atLeast"/>
    </w:pPr>
    <w:rPr>
      <w:rFonts w:ascii="Comfortaa" w:hAnsi="Comfortaa" w:cs="Times New Roman"/>
      <w:sz w:val="24"/>
      <w:szCs w:val="24"/>
      <w:lang w:eastAsia="fr-FR"/>
    </w:rPr>
  </w:style>
  <w:style w:type="paragraph" w:styleId="Paragraphedeliste">
    <w:name w:val="List Paragraph"/>
    <w:basedOn w:val="Normal"/>
    <w:uiPriority w:val="34"/>
    <w:qFormat/>
    <w:rsid w:val="00C96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01593">
      <w:bodyDiv w:val="1"/>
      <w:marLeft w:val="0"/>
      <w:marRight w:val="0"/>
      <w:marTop w:val="0"/>
      <w:marBottom w:val="0"/>
      <w:divBdr>
        <w:top w:val="none" w:sz="0" w:space="0" w:color="auto"/>
        <w:left w:val="none" w:sz="0" w:space="0" w:color="auto"/>
        <w:bottom w:val="none" w:sz="0" w:space="0" w:color="auto"/>
        <w:right w:val="none" w:sz="0" w:space="0" w:color="auto"/>
      </w:divBdr>
    </w:div>
    <w:div w:id="1105271360">
      <w:bodyDiv w:val="1"/>
      <w:marLeft w:val="0"/>
      <w:marRight w:val="0"/>
      <w:marTop w:val="0"/>
      <w:marBottom w:val="0"/>
      <w:divBdr>
        <w:top w:val="none" w:sz="0" w:space="0" w:color="auto"/>
        <w:left w:val="none" w:sz="0" w:space="0" w:color="auto"/>
        <w:bottom w:val="none" w:sz="0" w:space="0" w:color="auto"/>
        <w:right w:val="none" w:sz="0" w:space="0" w:color="auto"/>
      </w:divBdr>
    </w:div>
    <w:div w:id="1117598596">
      <w:bodyDiv w:val="1"/>
      <w:marLeft w:val="0"/>
      <w:marRight w:val="0"/>
      <w:marTop w:val="0"/>
      <w:marBottom w:val="0"/>
      <w:divBdr>
        <w:top w:val="none" w:sz="0" w:space="0" w:color="auto"/>
        <w:left w:val="none" w:sz="0" w:space="0" w:color="auto"/>
        <w:bottom w:val="none" w:sz="0" w:space="0" w:color="auto"/>
        <w:right w:val="none" w:sz="0" w:space="0" w:color="auto"/>
      </w:divBdr>
    </w:div>
    <w:div w:id="14654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6.png@01D540B3.1B2C28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hyperlink" Target="http://www.pci.fr/" TargetMode="External"/><Relationship Id="rId10" Type="http://schemas.openxmlformats.org/officeDocument/2006/relationships/hyperlink" Target="https://youtu.be/vL4JOCPeap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3986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Lefebure Elodie</dc:creator>
  <cp:keywords/>
  <dc:description/>
  <cp:lastModifiedBy>Yaëlle CHARBIT</cp:lastModifiedBy>
  <cp:revision>2</cp:revision>
  <cp:lastPrinted>2019-06-12T09:21:00Z</cp:lastPrinted>
  <dcterms:created xsi:type="dcterms:W3CDTF">2019-09-05T07:39:00Z</dcterms:created>
  <dcterms:modified xsi:type="dcterms:W3CDTF">2019-09-05T07:39:00Z</dcterms:modified>
</cp:coreProperties>
</file>